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主要个人信息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黄晋培 讲师</w:t>
      </w:r>
    </w:p>
    <w:p>
      <w:pPr>
        <w:numPr>
          <w:ilvl w:val="0"/>
          <w:numId w:val="0"/>
        </w:numPr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教育与</w:t>
      </w:r>
      <w:r>
        <w:rPr>
          <w:rFonts w:hint="eastAsia"/>
          <w:sz w:val="32"/>
          <w:szCs w:val="32"/>
        </w:rPr>
        <w:t>工作</w:t>
      </w:r>
      <w:r>
        <w:rPr>
          <w:rFonts w:hint="eastAsia"/>
          <w:sz w:val="32"/>
          <w:szCs w:val="32"/>
          <w:lang w:val="en-US" w:eastAsia="zh-CN"/>
        </w:rPr>
        <w:t>经历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11.9</w:t>
      </w:r>
      <w:r>
        <w:rPr>
          <w:rFonts w:hint="default" w:ascii="Times New Roman" w:hAnsi="Times New Roman" w:eastAsia="宋体" w:cs="Times New Roman"/>
          <w:sz w:val="24"/>
          <w:szCs w:val="24"/>
        </w:rPr>
        <w:t>~20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15.7</w:t>
      </w:r>
      <w:r>
        <w:rPr>
          <w:rFonts w:hint="default" w:ascii="Times New Roman" w:hAnsi="Times New Roman" w:eastAsia="宋体" w:cs="Times New Roman"/>
          <w:sz w:val="24"/>
          <w:szCs w:val="24"/>
        </w:rPr>
        <w:t>     清华大学化学工程系    本科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15.9</w:t>
      </w:r>
      <w:r>
        <w:rPr>
          <w:rFonts w:hint="default" w:ascii="Times New Roman" w:hAnsi="Times New Roman" w:eastAsia="宋体" w:cs="Times New Roman"/>
          <w:sz w:val="24"/>
          <w:szCs w:val="24"/>
        </w:rPr>
        <w:t>~20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20.7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  清华大学化学工程系    博士（导师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徐建鸿</w:t>
      </w:r>
      <w:r>
        <w:rPr>
          <w:rFonts w:hint="default" w:ascii="Times New Roman" w:hAnsi="Times New Roman" w:eastAsia="宋体" w:cs="Times New Roman"/>
          <w:sz w:val="24"/>
          <w:szCs w:val="24"/>
        </w:rPr>
        <w:t>教授）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9.1~2019.7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美国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宾夕法尼亚大学</w:t>
      </w:r>
      <w:r>
        <w:rPr>
          <w:rFonts w:hint="default" w:ascii="Times New Roman" w:hAnsi="Times New Roman" w:eastAsia="宋体" w:cs="Times New Roman"/>
          <w:sz w:val="24"/>
          <w:szCs w:val="24"/>
        </w:rPr>
        <w:t>  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访问学者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4"/>
          <w:szCs w:val="24"/>
        </w:rPr>
        <w:t>Daeyeon Lee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4"/>
          <w:szCs w:val="24"/>
          <w:lang w:val="en-US" w:eastAsia="zh-CN"/>
        </w:rPr>
        <w:t>课题</w:t>
      </w:r>
      <w:r>
        <w:rPr>
          <w:rFonts w:hint="default" w:ascii="Times New Roman" w:hAnsi="Times New Roman" w:eastAsia="宋体" w:cs="Times New Roman"/>
          <w:i w:val="0"/>
          <w:iCs/>
          <w:sz w:val="24"/>
          <w:szCs w:val="24"/>
        </w:rPr>
        <w:t>组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2017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.7</w:t>
      </w:r>
      <w:r>
        <w:rPr>
          <w:rFonts w:hint="default" w:ascii="Times New Roman" w:hAnsi="Times New Roman" w:eastAsia="宋体" w:cs="Times New Roman"/>
          <w:sz w:val="24"/>
          <w:szCs w:val="24"/>
        </w:rPr>
        <w:t>~2020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.11</w:t>
      </w:r>
      <w:r>
        <w:rPr>
          <w:rFonts w:hint="default" w:ascii="Times New Roman" w:hAnsi="Times New Roman" w:eastAsia="宋体" w:cs="Times New Roman"/>
          <w:sz w:val="24"/>
          <w:szCs w:val="24"/>
        </w:rPr>
        <w:t>    清华大学化学工程系    助理教授（特别研究员）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.12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~至今 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中国计量大学生命科学学院药学系</w:t>
      </w:r>
      <w:r>
        <w:rPr>
          <w:rFonts w:hint="default" w:ascii="Times New Roman" w:hAnsi="Times New Roman" w:eastAsia="宋体" w:cs="Times New Roman"/>
          <w:sz w:val="24"/>
          <w:szCs w:val="24"/>
        </w:rPr>
        <w:t>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讲师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校聘副教授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主要研究方向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微化工过程；医药中间体连续合成；流动化学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主要社会兼职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中国化工学会微化工技术专业委员会</w:t>
      </w:r>
      <w:r>
        <w:rPr>
          <w:rFonts w:hint="eastAsia"/>
          <w:sz w:val="24"/>
          <w:szCs w:val="24"/>
          <w:lang w:val="en-US" w:eastAsia="zh-CN"/>
        </w:rPr>
        <w:t>青年</w:t>
      </w:r>
      <w:r>
        <w:rPr>
          <w:rFonts w:hint="default"/>
          <w:sz w:val="24"/>
          <w:szCs w:val="24"/>
          <w:lang w:val="en-US" w:eastAsia="zh-CN"/>
        </w:rPr>
        <w:t>委员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教学工作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本科生《药物化学》，《无机及分析化学B》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主要获奖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主要科研成果</w:t>
      </w:r>
    </w:p>
    <w:p>
      <w:pPr>
        <w:spacing w:before="0" w:after="0" w:line="240" w:lineRule="auto"/>
        <w:jc w:val="both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项目与基金：</w:t>
      </w:r>
    </w:p>
    <w:p>
      <w:pPr>
        <w:spacing w:before="0" w:after="0" w:line="240" w:lineRule="auto"/>
        <w:jc w:val="both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1、国家自然科学基金青年基金（22108264）“霍夫曼重排反应过程微型化的基础研究”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0" w:after="0" w:line="240" w:lineRule="auto"/>
        <w:jc w:val="both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代表性论文/专利：</w:t>
      </w:r>
    </w:p>
    <w:p>
      <w:pPr>
        <w:numPr>
          <w:ilvl w:val="0"/>
          <w:numId w:val="3"/>
        </w:numPr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Jin-Pei Huang, et al. Efficient Production of Cyclopropylamine by a Continuous-flow Microreaction System [J]. Ind. Eng. Chem. Res., 2019, 58, 16389. 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Style w:val="8"/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Jin-Pei Huang, et al. Continuous Synthesis of Gabapentin with a Microreaction System [J]. Chem. Eng. Sci., 2017, 173C, 507. </w:t>
      </w:r>
    </w:p>
    <w:p>
      <w:pPr>
        <w:pStyle w:val="2"/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Jin-Pei Huang, et al. Controlled Formation and Coalescence of Paramagnetic Ionic Liquid Droplets under Magnetic Field in Coaxial Microfluidic Devices [J]. Chem. Eng. Sci., 2016, 152, 293.</w:t>
      </w:r>
      <w:r>
        <w:rPr>
          <w:rStyle w:val="8"/>
          <w:rFonts w:hint="default" w:ascii="Times New Roman" w:hAnsi="Times New Roman" w:eastAsia="宋体" w:cs="Times New Roman"/>
          <w:b w:val="0"/>
          <w:bCs/>
          <w:i w:val="0"/>
          <w:iCs/>
          <w:sz w:val="24"/>
          <w:szCs w:val="24"/>
          <w:u w:val="none"/>
        </w:rPr>
        <w:t xml:space="preserve"> 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Yi-Wei Zhou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#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Jin-Pei Huang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#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, et al. Controlled Retention of droplets and the Enhancement of Mass Transfer in Microchannel with Multi-groove structure [J]. Chem. Eng. Sci., 2019, 209, 115223. 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Fu-Ning Sang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#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Jin-Pei Huang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#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et al. A Circular Microreaction Method to the Safe and Efficient Synthesis of 3-methylpyridine-N-oxide [J].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Chinese J. Chem. Eng., 2020, 28, 1320. 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Tian Yang, Fajun Wang, Jinpei Huang, et al. Efficient Continuous-flow Synthesis of Long-chain Alkylated Naphthalene Catalyzed by Ionic Liquids in a Microreaction System[J]. React. Chem. Eng., 2021,6,1950.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徐建鸿,庞泽远,黄晋培等,一种连续制备加巴喷丁的方法[P], ZL201710265987.3.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徐建鸿,王法军,黄晋培等,一种微反应器内连续化制备偶氮染料的方法[P], ZL201710543508.X.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/>
          <w:spacing w:val="8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徐建鸿,耿宇昊,黄晋培,一种循环微反应器中合成十二烷基苯磺酸的方法[P], ZL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/>
          <w:spacing w:val="8"/>
          <w:kern w:val="0"/>
          <w:sz w:val="24"/>
          <w:szCs w:val="24"/>
        </w:rPr>
        <w:t>201910215449.2.</w:t>
      </w:r>
    </w:p>
    <w:p>
      <w:pPr>
        <w:numPr>
          <w:ilvl w:val="0"/>
          <w:numId w:val="3"/>
        </w:numPr>
        <w:spacing w:before="0" w:after="0" w:line="24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i w:val="0"/>
          <w:iCs/>
          <w:color w:val="000000"/>
          <w:spacing w:val="8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徐建鸿,黄晋培,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耿宇昊，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一种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连续制备环丙胺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的方法[P], ZL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/>
          <w:spacing w:val="8"/>
          <w:kern w:val="0"/>
          <w:sz w:val="24"/>
          <w:szCs w:val="24"/>
        </w:rPr>
        <w:t>2019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/>
          <w:spacing w:val="8"/>
          <w:kern w:val="0"/>
          <w:sz w:val="24"/>
          <w:szCs w:val="24"/>
          <w:lang w:val="en-US" w:eastAsia="zh-CN"/>
        </w:rPr>
        <w:t>10113412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/>
          <w:spacing w:val="8"/>
          <w:kern w:val="0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000000"/>
          <w:spacing w:val="8"/>
          <w:kern w:val="0"/>
          <w:sz w:val="24"/>
          <w:szCs w:val="24"/>
          <w:lang w:val="en-US" w:eastAsia="zh-CN"/>
        </w:rPr>
        <w:t>9.</w:t>
      </w:r>
    </w:p>
    <w:p>
      <w:pPr>
        <w:numPr>
          <w:ilvl w:val="0"/>
          <w:numId w:val="0"/>
        </w:numPr>
        <w:rPr>
          <w:rFonts w:hint="eastAsia"/>
          <w:b w:val="0"/>
          <w:bCs/>
          <w:i w:val="0"/>
          <w:iCs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八、联系方式：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邮箱：huangjinpei1994@cjlu.edu.cn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联系地址：中国计量大学东区方正501室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100580" cy="2800985"/>
            <wp:effectExtent l="0" t="0" r="13970" b="18415"/>
            <wp:docPr id="1" name="图片 1" descr="20200504_9601 黄晋培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504_9601 黄晋培4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5C525C"/>
    <w:multiLevelType w:val="singleLevel"/>
    <w:tmpl w:val="1A5C525C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  <w:sz w:val="22"/>
        <w:szCs w:val="22"/>
      </w:rPr>
    </w:lvl>
  </w:abstractNum>
  <w:abstractNum w:abstractNumId="1">
    <w:nsid w:val="1B6D6587"/>
    <w:multiLevelType w:val="singleLevel"/>
    <w:tmpl w:val="1B6D6587"/>
    <w:lvl w:ilvl="0" w:tentative="0">
      <w:start w:val="1"/>
      <w:numFmt w:val="decimal"/>
      <w:suff w:val="space"/>
      <w:lvlText w:val="%1、"/>
      <w:lvlJc w:val="left"/>
      <w:rPr>
        <w:rFonts w:hint="default"/>
        <w:b w:val="0"/>
        <w:bCs w:val="0"/>
        <w:color w:val="auto"/>
      </w:rPr>
    </w:lvl>
  </w:abstractNum>
  <w:abstractNum w:abstractNumId="2">
    <w:nsid w:val="31DDE4E7"/>
    <w:multiLevelType w:val="singleLevel"/>
    <w:tmpl w:val="31DDE4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OTJlMWZkMzUxNDllODcxYjY2YmNiMmI0MTI4MjgifQ=="/>
  </w:docVars>
  <w:rsids>
    <w:rsidRoot w:val="00000000"/>
    <w:rsid w:val="04B073F7"/>
    <w:rsid w:val="0D17733D"/>
    <w:rsid w:val="0F2B249C"/>
    <w:rsid w:val="147541B9"/>
    <w:rsid w:val="153F1F41"/>
    <w:rsid w:val="1E32669F"/>
    <w:rsid w:val="21D544E9"/>
    <w:rsid w:val="22E42C35"/>
    <w:rsid w:val="23232E8E"/>
    <w:rsid w:val="23D05AEF"/>
    <w:rsid w:val="2AC31382"/>
    <w:rsid w:val="2B1257D5"/>
    <w:rsid w:val="2E4647A4"/>
    <w:rsid w:val="357C4F4F"/>
    <w:rsid w:val="3C805325"/>
    <w:rsid w:val="425828A0"/>
    <w:rsid w:val="473D3E13"/>
    <w:rsid w:val="525C5A95"/>
    <w:rsid w:val="5AF07B83"/>
    <w:rsid w:val="617A19D9"/>
    <w:rsid w:val="631F6D97"/>
    <w:rsid w:val="67EC2091"/>
    <w:rsid w:val="687F18C3"/>
    <w:rsid w:val="6ED50C51"/>
    <w:rsid w:val="737B1E1B"/>
    <w:rsid w:val="7A8A6D94"/>
    <w:rsid w:val="7C326AC2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jc w:val="right"/>
      <w:outlineLvl w:val="0"/>
    </w:pPr>
    <w:rPr>
      <w:rFonts w:asciiTheme="majorHAnsi" w:hAnsiTheme="majorHAnsi" w:eastAsiaTheme="majorEastAsia" w:cstheme="majorBidi"/>
      <w:color w:val="5B9BD5" w:themeColor="accent1"/>
      <w:sz w:val="21"/>
      <w14:textFill>
        <w14:solidFill>
          <w14:schemeClr w14:val="accent1"/>
        </w14:solidFill>
      </w14:textFill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table" w:customStyle="1" w:styleId="11">
    <w:name w:val="简历表格"/>
    <w:basedOn w:val="5"/>
    <w:qFormat/>
    <w:uiPriority w:val="99"/>
    <w:tblPr>
      <w:tblBorders>
        <w:insideH w:val="single" w:color="5B9BD5" w:themeColor="accent1" w:sz="4" w:space="0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567</Words>
  <Characters>1482</Characters>
  <Lines>0</Lines>
  <Paragraphs>0</Paragraphs>
  <TotalTime>2</TotalTime>
  <ScaleCrop>false</ScaleCrop>
  <LinksUpToDate>false</LinksUpToDate>
  <CharactersWithSpaces>1675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2022-09-09T07:56:00Z</dcterms:created>
  <dc:creator>86158</dc:creator>
  <cp:lastModifiedBy>WPS_1661741301</cp:lastModifiedBy>
  <dcterms:modified xsi:type="dcterms:W3CDTF">2022-09-20T06:42:58Z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1855C473895B4670B2EAB075E0BC1696</vt:lpwstr>
  </property>
</Properties>
</file>